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370BAEE9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5625FD">
        <w:rPr>
          <w:b/>
          <w:sz w:val="28"/>
          <w:szCs w:val="28"/>
        </w:rPr>
        <w:t xml:space="preserve">Pokročilé digitální pomůcky – robotika, polytechnika 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 xml:space="preserve">Mgr. Klárou </w:t>
      </w:r>
      <w:proofErr w:type="spellStart"/>
      <w:proofErr w:type="gramStart"/>
      <w:r w:rsidR="007B0938" w:rsidRPr="006A63DB">
        <w:t>Jelinkovou</w:t>
      </w:r>
      <w:proofErr w:type="spellEnd"/>
      <w:r w:rsidR="007B0938" w:rsidRPr="006A63DB">
        <w:t xml:space="preserve"> - ředitelkou</w:t>
      </w:r>
      <w:proofErr w:type="gramEnd"/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5AD0896D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6F6E27" w:rsidRPr="009D7617">
        <w:rPr>
          <w:rFonts w:cs="Arial"/>
        </w:rPr>
        <w:t xml:space="preserve">dodávka </w:t>
      </w:r>
      <w:r w:rsidR="005625FD">
        <w:rPr>
          <w:rFonts w:cs="Arial"/>
        </w:rPr>
        <w:t>pokročilé digitální techniky</w:t>
      </w:r>
      <w:r w:rsidR="008B78D5">
        <w:rPr>
          <w:rFonts w:cs="Arial"/>
        </w:rPr>
        <w:t xml:space="preserve"> do</w:t>
      </w:r>
      <w:r w:rsidR="009D7617" w:rsidRPr="009D7617">
        <w:rPr>
          <w:rFonts w:cs="Arial"/>
        </w:rPr>
        <w:t xml:space="preserve"> gymnázia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5625FD">
        <w:rPr>
          <w:b/>
          <w:sz w:val="28"/>
          <w:szCs w:val="28"/>
        </w:rPr>
        <w:t>Pokročilé digitální pomůcky – robotika, polytechnika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43E2BABD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5625FD">
        <w:rPr>
          <w:b/>
          <w:bCs/>
        </w:rPr>
        <w:t>6</w:t>
      </w:r>
      <w:r w:rsidR="008B78D5" w:rsidRPr="007A172C">
        <w:rPr>
          <w:b/>
          <w:bCs/>
        </w:rPr>
        <w:t>.</w:t>
      </w:r>
      <w:r w:rsidR="008B78D5">
        <w:rPr>
          <w:b/>
          <w:bCs/>
        </w:rPr>
        <w:t>1</w:t>
      </w:r>
      <w:r w:rsidR="00805CA8">
        <w:rPr>
          <w:b/>
          <w:bCs/>
        </w:rPr>
        <w:t>1</w:t>
      </w:r>
      <w:r w:rsidR="008B78D5">
        <w:rPr>
          <w:b/>
          <w:bCs/>
        </w:rPr>
        <w:t>.202</w:t>
      </w:r>
      <w:r w:rsidR="007A172C">
        <w:rPr>
          <w:b/>
          <w:bCs/>
        </w:rPr>
        <w:t>3</w:t>
      </w:r>
      <w:r w:rsidRPr="009D7617">
        <w:rPr>
          <w:rFonts w:cs="Arial"/>
          <w:b/>
          <w:bCs/>
          <w:color w:val="000000"/>
        </w:rPr>
        <w:t xml:space="preserve"> 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proofErr w:type="gramStart"/>
      <w:r w:rsidRPr="009D7617">
        <w:t>Ředitelna - Gymnázium</w:t>
      </w:r>
      <w:proofErr w:type="gramEnd"/>
      <w:r w:rsidRPr="009D7617">
        <w:t xml:space="preserve">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2E3AD3EF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</w:t>
      </w:r>
      <w:proofErr w:type="gramStart"/>
      <w:r w:rsidR="00CC2199" w:rsidRPr="00BA4B31">
        <w:rPr>
          <w:rFonts w:cs="Arial"/>
        </w:rPr>
        <w:t>tvoří</w:t>
      </w:r>
      <w:proofErr w:type="gramEnd"/>
      <w:r w:rsidR="00CC2199" w:rsidRPr="00BA4B31">
        <w:rPr>
          <w:rFonts w:cs="Arial"/>
        </w:rPr>
        <w:t xml:space="preserve">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71C53184" w:rsidR="005A5D65" w:rsidRPr="00FA73AE" w:rsidRDefault="009542B5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Doklady o splnění kvalifikace dle bodu 7 výzvy (příloha č. </w:t>
      </w:r>
      <w:r w:rsidR="005A5D65" w:rsidRPr="00FA73AE">
        <w:rPr>
          <w:rFonts w:cs="Arial"/>
          <w:color w:val="000000"/>
        </w:rPr>
        <w:t>2</w:t>
      </w:r>
      <w:r w:rsidR="00174EA6" w:rsidRPr="00FA73AE">
        <w:rPr>
          <w:rFonts w:cs="Arial"/>
          <w:color w:val="000000"/>
        </w:rPr>
        <w:t>)</w:t>
      </w:r>
      <w:r w:rsidR="005A5D65" w:rsidRPr="00FA73AE">
        <w:rPr>
          <w:rFonts w:cs="Arial"/>
          <w:color w:val="000000"/>
        </w:rPr>
        <w:t>.</w:t>
      </w:r>
    </w:p>
    <w:p w14:paraId="5D9F60BD" w14:textId="684C6539" w:rsidR="00CC2199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51BA6163" w14:textId="4E55D7C7" w:rsidR="004D5150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Vyplněný položkový rozpočet (příloha č. </w:t>
      </w:r>
      <w:r w:rsidR="00BA4B31">
        <w:rPr>
          <w:rFonts w:cs="Arial"/>
          <w:color w:val="000000"/>
        </w:rPr>
        <w:t>6</w:t>
      </w:r>
      <w:r w:rsidRPr="00FA73AE">
        <w:rPr>
          <w:rFonts w:cs="Arial"/>
          <w:color w:val="000000"/>
        </w:rPr>
        <w:t xml:space="preserve"> výzvy).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0D98C404" w14:textId="77777777" w:rsidR="00546C7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</w:t>
      </w:r>
    </w:p>
    <w:p w14:paraId="3707657F" w14:textId="313CF691" w:rsidR="00FA73AE" w:rsidRPr="00546C7E" w:rsidRDefault="00546C7E" w:rsidP="000B2AB9">
      <w:pPr>
        <w:spacing w:before="60" w:line="240" w:lineRule="auto"/>
        <w:jc w:val="both"/>
        <w:rPr>
          <w:rFonts w:cs="Arial"/>
          <w:b/>
          <w:bCs/>
          <w:color w:val="000000"/>
        </w:rPr>
      </w:pPr>
      <w:r w:rsidRPr="00546C7E">
        <w:rPr>
          <w:rFonts w:cs="Arial"/>
          <w:b/>
          <w:bCs/>
          <w:color w:val="000000"/>
        </w:rPr>
        <w:t xml:space="preserve">Maximální cena je stanovena na </w:t>
      </w:r>
      <w:r w:rsidR="005625FD">
        <w:rPr>
          <w:rFonts w:cs="Arial"/>
          <w:b/>
          <w:bCs/>
          <w:color w:val="000000"/>
        </w:rPr>
        <w:t>464 000</w:t>
      </w:r>
      <w:r w:rsidRPr="00546C7E">
        <w:rPr>
          <w:rFonts w:cs="Arial"/>
          <w:b/>
          <w:bCs/>
          <w:color w:val="000000"/>
        </w:rPr>
        <w:t>,- vč. DPH.</w:t>
      </w:r>
      <w:r w:rsidR="009542B5" w:rsidRPr="00546C7E">
        <w:rPr>
          <w:rFonts w:cs="Arial"/>
          <w:b/>
          <w:bCs/>
          <w:color w:val="000000"/>
        </w:rPr>
        <w:t xml:space="preserve">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7777777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lastRenderedPageBreak/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 xml:space="preserve">Dodavatel dále </w:t>
      </w:r>
      <w:proofErr w:type="gramStart"/>
      <w:r>
        <w:rPr>
          <w:rFonts w:cs="Arial"/>
        </w:rPr>
        <w:t>předloží</w:t>
      </w:r>
      <w:proofErr w:type="gramEnd"/>
      <w:r>
        <w:rPr>
          <w:rFonts w:cs="Arial"/>
        </w:rPr>
        <w:t>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77777777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zakázky, tj. alespoň „Výroba, obchod a </w:t>
      </w:r>
      <w:r w:rsidRPr="005E7BCA">
        <w:rPr>
          <w:rFonts w:cs="Arial"/>
          <w:color w:val="000000"/>
        </w:rPr>
        <w:t>služby neuvedené v přílohách 1 až 3 živnostenského zákona“</w:t>
      </w:r>
      <w:r w:rsidRPr="00C1078A">
        <w:rPr>
          <w:rFonts w:cs="Arial"/>
          <w:color w:val="000000"/>
        </w:rPr>
        <w:t>.</w:t>
      </w:r>
    </w:p>
    <w:p w14:paraId="6F3F54D9" w14:textId="045F8577" w:rsidR="00D51F12" w:rsidRPr="00254379" w:rsidRDefault="00D51F12" w:rsidP="00D51F12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52138C">
        <w:rPr>
          <w:rFonts w:cs="Arial"/>
          <w:color w:val="000000"/>
        </w:rPr>
        <w:t>c</w:t>
      </w:r>
      <w:r>
        <w:rPr>
          <w:rFonts w:cs="Arial"/>
          <w:color w:val="000000"/>
        </w:rPr>
        <w:t>)</w:t>
      </w:r>
      <w:r>
        <w:rPr>
          <w:rFonts w:cs="Arial"/>
          <w:color w:val="000000"/>
        </w:rPr>
        <w:tab/>
      </w:r>
      <w:r w:rsidRPr="00BC253B">
        <w:rPr>
          <w:rFonts w:cs="Arial"/>
          <w:color w:val="000000"/>
        </w:rPr>
        <w:t xml:space="preserve">seznam </w:t>
      </w:r>
      <w:r w:rsidRPr="00BC253B">
        <w:rPr>
          <w:rFonts w:cs="Arial"/>
          <w:i/>
          <w:color w:val="000000"/>
        </w:rPr>
        <w:t>významných dodávek</w:t>
      </w:r>
      <w:r w:rsidRPr="00BC253B">
        <w:rPr>
          <w:rFonts w:cs="Arial"/>
          <w:color w:val="000000"/>
        </w:rPr>
        <w:t xml:space="preserve"> (referencí) poskytnutých za poslední 3 roky před zahájením </w:t>
      </w:r>
      <w:r>
        <w:rPr>
          <w:rFonts w:cs="Arial"/>
          <w:color w:val="000000"/>
        </w:rPr>
        <w:t xml:space="preserve">tohoto </w:t>
      </w:r>
      <w:r w:rsidRPr="00BC253B">
        <w:rPr>
          <w:rFonts w:cs="Arial"/>
          <w:color w:val="000000"/>
        </w:rPr>
        <w:t>řízení</w:t>
      </w:r>
      <w:r>
        <w:rPr>
          <w:rFonts w:cs="Arial"/>
          <w:color w:val="000000"/>
        </w:rPr>
        <w:t xml:space="preserve">, a to </w:t>
      </w:r>
      <w:r w:rsidRPr="00BC253B">
        <w:rPr>
          <w:rFonts w:cs="Arial"/>
          <w:color w:val="000000"/>
        </w:rPr>
        <w:t>formou čestného prohlášení s uvedením jejich rozsahu, ceny, doby poskytnutí a identifikace objednatele.</w:t>
      </w:r>
      <w:r>
        <w:rPr>
          <w:rFonts w:cs="Arial"/>
          <w:color w:val="000000"/>
        </w:rPr>
        <w:t xml:space="preserve"> 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</w:t>
      </w:r>
      <w:proofErr w:type="gramStart"/>
      <w:r w:rsidRPr="000C656E">
        <w:rPr>
          <w:rFonts w:cs="Arial"/>
        </w:rPr>
        <w:t>postačí</w:t>
      </w:r>
      <w:proofErr w:type="gramEnd"/>
      <w:r w:rsidRPr="000C656E">
        <w:rPr>
          <w:rFonts w:cs="Arial"/>
        </w:rPr>
        <w:t xml:space="preserve"> předložení čestného prohlášení dodavatele podepsaného osobou oprávněnou jednat za dodavatele. Zadavatel nabízí ke splnění tohoto požadavku vzorové čestné prohlášení, které </w:t>
      </w:r>
      <w:proofErr w:type="gramStart"/>
      <w:r w:rsidRPr="000C656E">
        <w:rPr>
          <w:rFonts w:cs="Arial"/>
        </w:rPr>
        <w:t>tvoří</w:t>
      </w:r>
      <w:proofErr w:type="gramEnd"/>
      <w:r w:rsidRPr="000C656E">
        <w:rPr>
          <w:rFonts w:cs="Arial"/>
        </w:rPr>
        <w:t xml:space="preserve">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</w:t>
      </w:r>
      <w:proofErr w:type="gramStart"/>
      <w:r w:rsidRPr="008E0611">
        <w:rPr>
          <w:rFonts w:cs="Arial"/>
          <w:color w:val="000000"/>
        </w:rPr>
        <w:t>tvoří</w:t>
      </w:r>
      <w:proofErr w:type="gramEnd"/>
      <w:r w:rsidRPr="008E0611">
        <w:rPr>
          <w:rFonts w:cs="Arial"/>
          <w:color w:val="000000"/>
        </w:rPr>
        <w:t xml:space="preserve">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3C0B47DA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5625FD" w:rsidRPr="0062060C">
        <w:rPr>
          <w:b/>
        </w:rPr>
        <w:t>8.12.2023</w:t>
      </w:r>
      <w:r w:rsidR="0056640C" w:rsidRPr="0062060C">
        <w:rPr>
          <w:b/>
        </w:rPr>
        <w:t>.</w:t>
      </w:r>
    </w:p>
    <w:p w14:paraId="1F7A643B" w14:textId="5F8FE46B" w:rsidR="00D13B7D" w:rsidRDefault="009542B5" w:rsidP="00D13B7D">
      <w:pPr>
        <w:spacing w:after="0" w:line="240" w:lineRule="auto"/>
      </w:pPr>
      <w:r w:rsidRPr="008E0611">
        <w:rPr>
          <w:bCs/>
        </w:rPr>
        <w:t>Místo dodání:</w:t>
      </w:r>
      <w:r w:rsidR="00D13B7D">
        <w:rPr>
          <w:bCs/>
        </w:rPr>
        <w:tab/>
      </w:r>
      <w:r w:rsidR="00D13B7D">
        <w:rPr>
          <w:bCs/>
        </w:rPr>
        <w:tab/>
      </w:r>
      <w:r w:rsidR="009D7617">
        <w:t>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2EF14B8E" w:rsidR="00B6355E" w:rsidRPr="001D6CDA" w:rsidRDefault="00B6355E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5625FD">
        <w:rPr>
          <w:b/>
          <w:sz w:val="28"/>
          <w:szCs w:val="28"/>
        </w:rPr>
        <w:t>Pokročilé digitální pomůcky – robotika, polytechnika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>nejpozději 4 pracovní dny před uplynutím lhůty pro podání nabídek. Zadavatel je povinen odeslat vysvětlení k zadávacím 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lastRenderedPageBreak/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5A6D5132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4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31312967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  <w:r w:rsidR="000570C6">
        <w:rPr>
          <w:rFonts w:cs="Arial"/>
        </w:rPr>
        <w:t xml:space="preserve"> – čestné prohlášení dodavatele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38F8F52F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7A172C">
        <w:rPr>
          <w:rFonts w:cs="Arial"/>
        </w:rPr>
        <w:t>Specifikace zakázky</w:t>
      </w:r>
    </w:p>
    <w:p w14:paraId="41E2DCFF" w14:textId="5DBF730A" w:rsidR="00CA5D34" w:rsidRDefault="00CA5D34" w:rsidP="00824A2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</w:t>
      </w:r>
      <w:proofErr w:type="gramStart"/>
      <w:r>
        <w:rPr>
          <w:rFonts w:cs="Arial"/>
        </w:rPr>
        <w:t xml:space="preserve">6:   </w:t>
      </w:r>
      <w:proofErr w:type="gramEnd"/>
      <w:r>
        <w:rPr>
          <w:rFonts w:cs="Arial"/>
        </w:rPr>
        <w:t xml:space="preserve"> </w:t>
      </w:r>
      <w:r w:rsidR="008C76A2">
        <w:rPr>
          <w:rFonts w:cs="Arial"/>
        </w:rPr>
        <w:t>Položkový rozpočet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53FD6208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5625FD">
        <w:t>23</w:t>
      </w:r>
      <w:r w:rsidR="007A172C">
        <w:t>.10.2023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78B4" w14:textId="77777777" w:rsidR="00AB2351" w:rsidRDefault="00AB2351" w:rsidP="0048052B">
      <w:pPr>
        <w:spacing w:after="0" w:line="240" w:lineRule="auto"/>
      </w:pPr>
      <w:r>
        <w:separator/>
      </w:r>
    </w:p>
  </w:endnote>
  <w:endnote w:type="continuationSeparator" w:id="0">
    <w:p w14:paraId="2718A31F" w14:textId="77777777" w:rsidR="00AB2351" w:rsidRDefault="00AB2351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E862" w14:textId="77777777" w:rsidR="00AB2351" w:rsidRDefault="00AB2351" w:rsidP="0048052B">
      <w:pPr>
        <w:spacing w:after="0" w:line="240" w:lineRule="auto"/>
      </w:pPr>
      <w:r>
        <w:separator/>
      </w:r>
    </w:p>
  </w:footnote>
  <w:footnote w:type="continuationSeparator" w:id="0">
    <w:p w14:paraId="5FAD97E2" w14:textId="77777777" w:rsidR="00AB2351" w:rsidRDefault="00AB2351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1974072">
    <w:abstractNumId w:val="2"/>
  </w:num>
  <w:num w:numId="2" w16cid:durableId="1198158156">
    <w:abstractNumId w:val="5"/>
  </w:num>
  <w:num w:numId="3" w16cid:durableId="1630894085">
    <w:abstractNumId w:val="3"/>
  </w:num>
  <w:num w:numId="4" w16cid:durableId="1679037875">
    <w:abstractNumId w:val="6"/>
  </w:num>
  <w:num w:numId="5" w16cid:durableId="394861959">
    <w:abstractNumId w:val="0"/>
  </w:num>
  <w:num w:numId="6" w16cid:durableId="1420641473">
    <w:abstractNumId w:val="1"/>
  </w:num>
  <w:num w:numId="7" w16cid:durableId="988097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0C6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90E32"/>
    <w:rsid w:val="003C10FB"/>
    <w:rsid w:val="003D2F10"/>
    <w:rsid w:val="003E143B"/>
    <w:rsid w:val="00417E66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46C7E"/>
    <w:rsid w:val="005625FD"/>
    <w:rsid w:val="005663E3"/>
    <w:rsid w:val="0056640C"/>
    <w:rsid w:val="005754D2"/>
    <w:rsid w:val="005940E6"/>
    <w:rsid w:val="005A5D65"/>
    <w:rsid w:val="005C171F"/>
    <w:rsid w:val="005E00DC"/>
    <w:rsid w:val="005E1124"/>
    <w:rsid w:val="005F4E3A"/>
    <w:rsid w:val="00601C86"/>
    <w:rsid w:val="0062060C"/>
    <w:rsid w:val="00630F27"/>
    <w:rsid w:val="006333F6"/>
    <w:rsid w:val="00685E81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A172C"/>
    <w:rsid w:val="007B0938"/>
    <w:rsid w:val="007D7807"/>
    <w:rsid w:val="007F6F00"/>
    <w:rsid w:val="00805CA8"/>
    <w:rsid w:val="00824A2E"/>
    <w:rsid w:val="008473BC"/>
    <w:rsid w:val="00876F36"/>
    <w:rsid w:val="008B78D5"/>
    <w:rsid w:val="008C76A2"/>
    <w:rsid w:val="008E0611"/>
    <w:rsid w:val="009542B5"/>
    <w:rsid w:val="00991AA3"/>
    <w:rsid w:val="009B0BD8"/>
    <w:rsid w:val="009B44ED"/>
    <w:rsid w:val="009D158B"/>
    <w:rsid w:val="009D7617"/>
    <w:rsid w:val="009E7C97"/>
    <w:rsid w:val="00A141EC"/>
    <w:rsid w:val="00A34270"/>
    <w:rsid w:val="00A372E8"/>
    <w:rsid w:val="00A965E9"/>
    <w:rsid w:val="00A968DB"/>
    <w:rsid w:val="00AB2351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5D34"/>
    <w:rsid w:val="00CA743B"/>
    <w:rsid w:val="00CC2199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E5DF9"/>
    <w:rsid w:val="00F03AA7"/>
    <w:rsid w:val="00F17388"/>
    <w:rsid w:val="00F227A5"/>
    <w:rsid w:val="00F4416A"/>
    <w:rsid w:val="00F44E69"/>
    <w:rsid w:val="00F811C0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1298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Klára Jelinková</cp:lastModifiedBy>
  <cp:revision>3</cp:revision>
  <cp:lastPrinted>2014-01-13T11:24:00Z</cp:lastPrinted>
  <dcterms:created xsi:type="dcterms:W3CDTF">2023-10-23T07:09:00Z</dcterms:created>
  <dcterms:modified xsi:type="dcterms:W3CDTF">2023-10-23T07:55:00Z</dcterms:modified>
</cp:coreProperties>
</file>